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F5F" w:rsidRPr="00A73F5F" w:rsidRDefault="00A73F5F" w:rsidP="00A73F5F">
      <w:pPr>
        <w:widowControl w:val="0"/>
        <w:tabs>
          <w:tab w:val="left" w:pos="3435"/>
        </w:tabs>
        <w:spacing w:before="120" w:after="120" w:line="276" w:lineRule="auto"/>
        <w:jc w:val="center"/>
        <w:rPr>
          <w:rFonts w:ascii="Arial Narrow" w:hAnsi="Arial Narrow"/>
          <w:b/>
          <w:sz w:val="22"/>
          <w:szCs w:val="20"/>
        </w:rPr>
      </w:pPr>
      <w:r w:rsidRPr="00A73F5F">
        <w:rPr>
          <w:rFonts w:ascii="Arial Narrow" w:hAnsi="Arial Narrow"/>
          <w:b/>
          <w:sz w:val="22"/>
          <w:szCs w:val="20"/>
        </w:rPr>
        <w:t>A</w:t>
      </w:r>
      <w:r w:rsidR="00CB081F">
        <w:rPr>
          <w:rFonts w:ascii="Arial Narrow" w:hAnsi="Arial Narrow"/>
          <w:b/>
          <w:sz w:val="22"/>
          <w:szCs w:val="20"/>
        </w:rPr>
        <w:t>NEXO</w:t>
      </w:r>
      <w:bookmarkStart w:id="0" w:name="_GoBack"/>
      <w:bookmarkEnd w:id="0"/>
      <w:r w:rsidRPr="00A73F5F">
        <w:rPr>
          <w:rFonts w:ascii="Arial Narrow" w:hAnsi="Arial Narrow"/>
          <w:b/>
          <w:sz w:val="22"/>
          <w:szCs w:val="20"/>
        </w:rPr>
        <w:t xml:space="preserve"> </w:t>
      </w:r>
      <w:r w:rsidR="009065F6">
        <w:rPr>
          <w:rFonts w:ascii="Arial Narrow" w:hAnsi="Arial Narrow"/>
          <w:b/>
          <w:sz w:val="22"/>
          <w:szCs w:val="20"/>
        </w:rPr>
        <w:t>I</w:t>
      </w:r>
      <w:r w:rsidRPr="00A73F5F">
        <w:rPr>
          <w:rFonts w:ascii="Arial Narrow" w:hAnsi="Arial Narrow"/>
          <w:b/>
          <w:sz w:val="22"/>
          <w:szCs w:val="20"/>
        </w:rPr>
        <w:t xml:space="preserve"> - Áreas de prestação de serviços de assistência médico-hospitalar, odontológica e de reabilitação</w:t>
      </w:r>
    </w:p>
    <w:p w:rsidR="00A73F5F" w:rsidRPr="00535792" w:rsidRDefault="00A73F5F" w:rsidP="00A73F5F">
      <w:pPr>
        <w:jc w:val="center"/>
        <w:rPr>
          <w:rFonts w:ascii="Arial Narrow" w:hAnsi="Arial Narrow"/>
          <w:b/>
        </w:rPr>
      </w:pPr>
      <w:r w:rsidRPr="00535792">
        <w:rPr>
          <w:rFonts w:ascii="Arial Narrow" w:hAnsi="Arial Narrow"/>
          <w:b/>
          <w:noProof/>
          <w:lang w:eastAsia="pt-BR"/>
        </w:rPr>
        <w:drawing>
          <wp:anchor distT="0" distB="0" distL="114935" distR="114935" simplePos="0" relativeHeight="251659264" behindDoc="0" locked="0" layoutInCell="1" allowOverlap="1" wp14:anchorId="12C570FE" wp14:editId="3B8C8416">
            <wp:simplePos x="0" y="0"/>
            <wp:positionH relativeFrom="column">
              <wp:posOffset>2679833</wp:posOffset>
            </wp:positionH>
            <wp:positionV relativeFrom="paragraph">
              <wp:posOffset>107950</wp:posOffset>
            </wp:positionV>
            <wp:extent cx="828675" cy="886460"/>
            <wp:effectExtent l="0" t="0" r="9525" b="889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73F5F" w:rsidRPr="00535792" w:rsidRDefault="00A73F5F" w:rsidP="00A73F5F">
      <w:pPr>
        <w:rPr>
          <w:rFonts w:ascii="Arial Narrow" w:hAnsi="Arial Narrow"/>
        </w:rPr>
      </w:pPr>
    </w:p>
    <w:p w:rsidR="00A73F5F" w:rsidRDefault="00A73F5F" w:rsidP="00A73F5F">
      <w:pPr>
        <w:jc w:val="center"/>
        <w:rPr>
          <w:rFonts w:ascii="Arial Narrow" w:hAnsi="Arial Narrow"/>
        </w:rPr>
      </w:pPr>
    </w:p>
    <w:p w:rsidR="00A73F5F" w:rsidRDefault="00A73F5F" w:rsidP="00A73F5F">
      <w:pPr>
        <w:jc w:val="center"/>
        <w:rPr>
          <w:rFonts w:ascii="Arial Narrow" w:hAnsi="Arial Narrow"/>
        </w:rPr>
      </w:pPr>
    </w:p>
    <w:p w:rsidR="00A73F5F" w:rsidRPr="00535792" w:rsidRDefault="00A73F5F" w:rsidP="00A73F5F">
      <w:pPr>
        <w:jc w:val="center"/>
        <w:rPr>
          <w:rFonts w:ascii="Arial Narrow" w:hAnsi="Arial Narrow"/>
        </w:rPr>
      </w:pPr>
    </w:p>
    <w:p w:rsidR="00A73F5F" w:rsidRPr="00535792" w:rsidRDefault="00A73F5F" w:rsidP="00A73F5F">
      <w:pPr>
        <w:jc w:val="center"/>
        <w:rPr>
          <w:rFonts w:ascii="Arial Narrow" w:hAnsi="Arial Narrow"/>
        </w:rPr>
      </w:pPr>
    </w:p>
    <w:p w:rsidR="00A73F5F" w:rsidRPr="00A73F5F" w:rsidRDefault="00A73F5F" w:rsidP="00A73F5F">
      <w:pPr>
        <w:spacing w:line="240" w:lineRule="exact"/>
        <w:contextualSpacing/>
        <w:jc w:val="center"/>
        <w:rPr>
          <w:rFonts w:ascii="Arial Narrow" w:hAnsi="Arial Narrow"/>
          <w:b/>
          <w:sz w:val="22"/>
        </w:rPr>
      </w:pPr>
      <w:r w:rsidRPr="00A73F5F">
        <w:rPr>
          <w:rFonts w:ascii="Arial Narrow" w:hAnsi="Arial Narrow"/>
          <w:b/>
          <w:sz w:val="22"/>
        </w:rPr>
        <w:t>MINISTÉRIO DA DEFESA</w:t>
      </w:r>
    </w:p>
    <w:p w:rsidR="00A73F5F" w:rsidRPr="00A73F5F" w:rsidRDefault="00A73F5F" w:rsidP="00A73F5F">
      <w:pPr>
        <w:spacing w:line="240" w:lineRule="exact"/>
        <w:contextualSpacing/>
        <w:jc w:val="center"/>
        <w:rPr>
          <w:rFonts w:ascii="Arial Narrow" w:hAnsi="Arial Narrow"/>
          <w:b/>
          <w:sz w:val="22"/>
        </w:rPr>
      </w:pPr>
      <w:r w:rsidRPr="00A73F5F">
        <w:rPr>
          <w:rFonts w:ascii="Arial Narrow" w:hAnsi="Arial Narrow"/>
          <w:b/>
          <w:sz w:val="22"/>
        </w:rPr>
        <w:t>EXÉRCITO BRASILEIRO</w:t>
      </w:r>
    </w:p>
    <w:p w:rsidR="00A73F5F" w:rsidRPr="00A73F5F" w:rsidRDefault="00A73F5F" w:rsidP="00A73F5F">
      <w:pPr>
        <w:spacing w:line="240" w:lineRule="exact"/>
        <w:contextualSpacing/>
        <w:jc w:val="center"/>
        <w:rPr>
          <w:rFonts w:ascii="Arial Narrow" w:hAnsi="Arial Narrow"/>
          <w:b/>
          <w:sz w:val="22"/>
        </w:rPr>
      </w:pPr>
      <w:r w:rsidRPr="00A73F5F">
        <w:rPr>
          <w:rFonts w:ascii="Arial Narrow" w:hAnsi="Arial Narrow"/>
          <w:b/>
          <w:sz w:val="22"/>
        </w:rPr>
        <w:t>4ª BRIGADA DE CAVALARIA MECANIZADA</w:t>
      </w:r>
    </w:p>
    <w:p w:rsidR="00A73F5F" w:rsidRPr="00A73F5F" w:rsidRDefault="00A73F5F" w:rsidP="00A73F5F">
      <w:pPr>
        <w:spacing w:line="240" w:lineRule="exact"/>
        <w:contextualSpacing/>
        <w:jc w:val="center"/>
        <w:rPr>
          <w:rFonts w:ascii="Arial Narrow" w:hAnsi="Arial Narrow"/>
          <w:b/>
          <w:sz w:val="22"/>
        </w:rPr>
      </w:pPr>
      <w:r w:rsidRPr="00A73F5F">
        <w:rPr>
          <w:rFonts w:ascii="Arial Narrow" w:hAnsi="Arial Narrow"/>
          <w:b/>
          <w:sz w:val="22"/>
        </w:rPr>
        <w:t>4ª COMPANHIA DE ENGENHARIA DE COMBATE MECANIZADA</w:t>
      </w:r>
    </w:p>
    <w:p w:rsidR="00A73F5F" w:rsidRPr="00A73F5F" w:rsidRDefault="00A73F5F" w:rsidP="00A73F5F">
      <w:pPr>
        <w:spacing w:line="240" w:lineRule="exact"/>
        <w:contextualSpacing/>
        <w:jc w:val="center"/>
        <w:rPr>
          <w:rFonts w:ascii="Arial Narrow" w:hAnsi="Arial Narrow"/>
          <w:b/>
          <w:sz w:val="22"/>
        </w:rPr>
      </w:pPr>
      <w:r w:rsidRPr="00A73F5F">
        <w:rPr>
          <w:rFonts w:ascii="Arial Narrow" w:hAnsi="Arial Narrow"/>
          <w:b/>
          <w:sz w:val="22"/>
        </w:rPr>
        <w:t>COMPANHIA TENENTE-CORONEL JUVÊNCIO</w:t>
      </w:r>
    </w:p>
    <w:p w:rsidR="00AD08FA" w:rsidRDefault="00AD08FA"/>
    <w:p w:rsidR="00A73F5F" w:rsidRDefault="00A73F5F"/>
    <w:p w:rsidR="00A73F5F" w:rsidRDefault="00A73F5F"/>
    <w:p w:rsidR="00A73F5F" w:rsidRPr="005400A6" w:rsidRDefault="00A73F5F" w:rsidP="00C01239">
      <w:pPr>
        <w:widowControl w:val="0"/>
        <w:spacing w:before="120" w:after="120" w:line="240" w:lineRule="exact"/>
        <w:ind w:firstLine="360"/>
        <w:jc w:val="both"/>
        <w:rPr>
          <w:rFonts w:ascii="Arial Narrow" w:hAnsi="Arial Narrow"/>
          <w:sz w:val="22"/>
          <w:szCs w:val="22"/>
        </w:rPr>
      </w:pPr>
      <w:r w:rsidRPr="00C01239">
        <w:rPr>
          <w:rFonts w:ascii="Arial Narrow" w:hAnsi="Arial Narrow"/>
          <w:sz w:val="22"/>
          <w:szCs w:val="22"/>
        </w:rPr>
        <w:t>A prestação de serviços de assistência Médico-Hospitalar, Odontológica e de Reabilitação a</w:t>
      </w:r>
      <w:r w:rsidR="005400A6" w:rsidRPr="00C01239">
        <w:rPr>
          <w:rFonts w:ascii="Arial Narrow" w:hAnsi="Arial Narrow"/>
          <w:sz w:val="22"/>
          <w:szCs w:val="22"/>
        </w:rPr>
        <w:t xml:space="preserve">barcará os Municípios de Jardim, Bonito, Nioaque e Bela Vista, todos localizados no estado do Mato Grosso do Sul, e demais interessados localizados a uma distância de até 150 km da Guarnição de Jardim – MS, </w:t>
      </w:r>
      <w:r w:rsidRPr="00C01239">
        <w:rPr>
          <w:rFonts w:ascii="Arial Narrow" w:hAnsi="Arial Narrow"/>
          <w:sz w:val="22"/>
          <w:szCs w:val="22"/>
        </w:rPr>
        <w:t>dentre as seguintes áreas:</w:t>
      </w:r>
    </w:p>
    <w:p w:rsidR="00A73F5F" w:rsidRPr="005400A6" w:rsidRDefault="00A73F5F" w:rsidP="00757B51">
      <w:pPr>
        <w:pStyle w:val="PargrafodaLista"/>
        <w:widowControl w:val="0"/>
        <w:numPr>
          <w:ilvl w:val="0"/>
          <w:numId w:val="2"/>
        </w:numPr>
        <w:spacing w:before="120" w:after="120" w:line="240" w:lineRule="exact"/>
        <w:contextualSpacing w:val="0"/>
        <w:jc w:val="both"/>
        <w:rPr>
          <w:rFonts w:ascii="Arial Narrow" w:hAnsi="Arial Narrow"/>
          <w:b/>
          <w:bCs/>
          <w:sz w:val="22"/>
          <w:szCs w:val="22"/>
        </w:rPr>
      </w:pPr>
      <w:r w:rsidRPr="005400A6">
        <w:rPr>
          <w:rFonts w:ascii="Arial Narrow" w:hAnsi="Arial Narrow"/>
          <w:sz w:val="22"/>
          <w:szCs w:val="22"/>
        </w:rPr>
        <w:t>Hospital Geral, com as seguintes especificações mínimas:</w:t>
      </w:r>
    </w:p>
    <w:p w:rsidR="00A73F5F" w:rsidRPr="00757B51" w:rsidRDefault="00A73F5F" w:rsidP="00757B51">
      <w:pPr>
        <w:pStyle w:val="PargrafodaLista"/>
        <w:widowControl w:val="0"/>
        <w:numPr>
          <w:ilvl w:val="1"/>
          <w:numId w:val="2"/>
        </w:numPr>
        <w:spacing w:before="120" w:after="120" w:line="240" w:lineRule="exact"/>
        <w:contextualSpacing w:val="0"/>
        <w:jc w:val="both"/>
        <w:rPr>
          <w:rFonts w:ascii="Arial Narrow" w:hAnsi="Arial Narrow"/>
          <w:b/>
          <w:bCs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Atendimento médico-hospitalar ou em consultório, com disponibilidade para agendamento de consultas eletivas, com hora marcada;</w:t>
      </w:r>
    </w:p>
    <w:p w:rsidR="00A73F5F" w:rsidRPr="00757B51" w:rsidRDefault="00A73F5F" w:rsidP="00757B51">
      <w:pPr>
        <w:pStyle w:val="PargrafodaLista"/>
        <w:widowControl w:val="0"/>
        <w:numPr>
          <w:ilvl w:val="2"/>
          <w:numId w:val="2"/>
        </w:numPr>
        <w:spacing w:before="120" w:after="120" w:line="240" w:lineRule="exact"/>
        <w:contextualSpacing w:val="0"/>
        <w:jc w:val="both"/>
        <w:rPr>
          <w:rFonts w:ascii="Arial Narrow" w:hAnsi="Arial Narrow"/>
          <w:b/>
          <w:bCs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As seguintes profissões e respectivas especialidades clínicas e cirúrgicas poderão ser prestadas: alergologia, anatomia patológica e citopatologia, anestesiologia, angiologia (cirurgia vascular e linfática), braquiterapia (radioterapia para próstata), cardiologia, cirurgia geral, cirurgia do aparelho digestivo (órgãos anexos e parede abdominal), cirurgia cardíaca-hemodinâmica, cirurgia de mama, cirurgia da mão, cirurgia de cabeça e pescoço, cirurgia pediátrica, cirurgia plástica e reparadora, cirurgia torácica, clínica médica, dermatologia clínico-cirúrgica, endoc inologia, endoscopia digestiva (cpre), fisioterapia; fonoaudiologia, gastroenterologia, geriatria e gerontologia, ginecologia e obstetrícia, hematologia, imaginologia (raios-x simples e contrastado, ultrassonografia, ecocardiografia, tomografia e ressonância magnética), infectologia, medicina física e reabilitação, medicina nuclear, nefrologia, neurocirurgia, neurologia, neurofisiologia, nutrição, oftalmologia, ortopedia e traumatologia, terapia ocupacional, terapia semi-intensiva neonatal, otorrinolaringologia, pediatria, pneumologia, proctologia, psicologia, psiquiatria, quimioterapia, radiodiagnóstico, reumatologia e urologia (litotripsia e urodinâmica) e uroginecologia;</w:t>
      </w:r>
    </w:p>
    <w:p w:rsidR="005B480B" w:rsidRPr="00757B51" w:rsidRDefault="005B480B" w:rsidP="00757B51">
      <w:pPr>
        <w:widowControl w:val="0"/>
        <w:numPr>
          <w:ilvl w:val="2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As profissões e especialidades acima descritas não se constituem em um mínimo necessário, logo, o contrato decorrente deste Edital poderá deixar de cobrir parte das mesmas.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Serviços Auxiliares de Diagnóstico e de Tratamento, sendo obrigatória a existência de Laboratório de Análises Clínicas e de Serviço de Diagnóstico por Imagem, todos com disponibilidade para atendimento, durante 24 (vinte e quatro) horas por dia, nas instalações da OCS a ser contratada;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Pronto-Socorro Geral para atendimento dos casos de urgência e emergência;</w:t>
      </w:r>
    </w:p>
    <w:p w:rsidR="00757B51" w:rsidRPr="00757B51" w:rsidRDefault="00757B51" w:rsidP="00757B51">
      <w:pPr>
        <w:widowControl w:val="0"/>
        <w:numPr>
          <w:ilvl w:val="2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Poderão compor a equipe médica as seguintes especialidades clínicas e cirúrgicas: pediatria, neurologia, clínica médica, cardiologia, cirurgia geral e ortopedia;</w:t>
      </w:r>
    </w:p>
    <w:p w:rsidR="00757B51" w:rsidRPr="00757B51" w:rsidRDefault="00757B51" w:rsidP="00757B51">
      <w:pPr>
        <w:widowControl w:val="0"/>
        <w:numPr>
          <w:ilvl w:val="2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As especialidades acima descritas não se constituem em um mínimo necessário, logo, o contrato decorrente deste Edital poderá deixar de cobrir parte das mesmas.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Centro Cirúrgico Geral com capacidade para atender à demanda de procedimentos eletivos e emergenciais solicitados pelos beneficiários de que trata este Edital;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Centro de Terapia Intensiva com capacidade para atender à demanda de procedimentos eletivos e emergenciais referentes aos beneficiários de que trata este Edital;</w:t>
      </w:r>
    </w:p>
    <w:p w:rsidR="00757B51" w:rsidRPr="00757B51" w:rsidRDefault="00757B51" w:rsidP="00757B51">
      <w:pPr>
        <w:widowControl w:val="0"/>
        <w:numPr>
          <w:ilvl w:val="2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 xml:space="preserve">O CTI deverá possuir as seguintes características mínimas: ser uma unidade físico-funcional do </w:t>
      </w:r>
      <w:r w:rsidRPr="00757B51">
        <w:rPr>
          <w:rFonts w:ascii="Arial Narrow" w:hAnsi="Arial Narrow"/>
          <w:sz w:val="22"/>
          <w:szCs w:val="22"/>
        </w:rPr>
        <w:lastRenderedPageBreak/>
        <w:t>CREDENCIADO; com área física própria; com aparelhagem e equipe técnica especializada e permanente, incluindo médicos plantonistas durante 24 (vinte e quatro) horas por dia; além de dispor de cardioversor, monitor cardíaco, monitorização de pressão não invasiva e invasiva, oxímetro de pulso, aspirador de secreções, eletrocardiógrafo, respirador de volume, bomba de infusão, gases medicinais e materiais necessários para a assistência do paciente, tais como equipamentos para assistência respiratória, hemoterápica, dissecção e punção de acesso central, traqueostomia.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O CTI – PEDIÁTRICO deverá conter, além dos listados no subitem acima, equipamentos específicos para assistência pediátrica e neonatal, tais como berço aquecido, incubadora, CPAP e HOOD;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Unidade de Hemodinâmica com capacidade para atender à demanda de procedimentos eletivos e emergenciais referentes aos beneficiários de que trata este Edital;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Centro de Hemodiálise para atendimento hospitalar e ambulatorial com capacidade para atender à demanda de procedimentos eletivos e emergenciais referentes aos beneficiários de que trata este Edital;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Unidade para Pacientes Coronarianos com capacidade para atender à demanda de procedimentos eletivos e emergenciais referentes aos beneficiários de que trata este Edital.</w:t>
      </w:r>
    </w:p>
    <w:p w:rsidR="00757B51" w:rsidRPr="00757B51" w:rsidRDefault="00757B51" w:rsidP="00757B51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Hospital(is) ou Clínica(s) Oftalmológica(s), atendendo às seguintes especificações mínimas: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Consulta padrão, conforme prevê a Associação Médica Brasileira (AMB);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Procedimentos diagnósticos básicos; a saber: curva tensional diária, campimetria, mapeamento de retina, retinografia, 'fonometria e visão subnormal; e;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Procedimentos terapêuticos nas áreas de conjuntiva, córnea, câmara anterior, cristalino, vítreo e retina.</w:t>
      </w:r>
    </w:p>
    <w:p w:rsidR="00757B51" w:rsidRPr="00757B51" w:rsidRDefault="00757B51" w:rsidP="00757B51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Hospital(is) ou Clínica(s) Psiquiátrica(s), atendendo às seguintes especificações mínimas: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Serviço de urgência e emergência durante 24 (vinte e quatro) horas por dia, com presença física de médico especialista em psiquiatria;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Disponibilidade de acomodações adequadas para os pacientes, em ambiente individual ou coletivo e, ainda, isolamento para casos selecionados;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Equipe multidisciplinar composta por médico clínico, neurologista, psicólogo e terapeuta ocupacional;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Suporte de Laboratório de Análises Clínicas para os casos em que houver necessidade;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Enfermagem especializada em remoção domiciliar, caso necessário; e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Unidade para tratamento de dependentes químicos, separada das alas de doentes psiquiátricos.</w:t>
      </w:r>
    </w:p>
    <w:p w:rsidR="00757B51" w:rsidRPr="00757B51" w:rsidRDefault="00757B51" w:rsidP="00757B51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Clínica(s) de Reabilitação nas seguintes áreas: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Fisioterapia;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Medicina, na especialidade de acupuntura;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Fonoaudiologia;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Terapia Ocupacional; e,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Psicologia.</w:t>
      </w:r>
    </w:p>
    <w:p w:rsidR="00757B51" w:rsidRPr="00757B51" w:rsidRDefault="00757B51" w:rsidP="00757B51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Laboratório(s) de Análises Clínicas e/ou de Cito-Patologia.</w:t>
      </w:r>
    </w:p>
    <w:p w:rsidR="00757B51" w:rsidRPr="00757B51" w:rsidRDefault="00757B51" w:rsidP="00757B51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Clínica(s) Odontológica(s) nas seguintes especialidades: Cirurgia Buco-Maxilo-Facial, Endodontia, Periodontia, Prótese, Estomatologia, Implantodontia, Odontopediatria, Ortodontia e Ortopedia Funcional dos Maxilares.</w:t>
      </w:r>
    </w:p>
    <w:p w:rsidR="00757B51" w:rsidRPr="00757B51" w:rsidRDefault="00757B51" w:rsidP="00757B51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Clínica(s) de Especialidade(s) Médicas, abrangendo os seguintes serviços: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Diagnósticos Cardiológicos;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Tratamento Nefrológico;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 xml:space="preserve">Cardiologia Fetal; 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Diagnósticos Gastroenterológicos;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Diagnósticos Otorrinolaringológicos;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lastRenderedPageBreak/>
        <w:t>Diagnósticos Neurológicos;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Tratamento por Quimioterapia;</w:t>
      </w:r>
    </w:p>
    <w:p w:rsidR="00757B51" w:rsidRPr="00757B51" w:rsidRDefault="00757B51" w:rsidP="00757B51">
      <w:pPr>
        <w:widowControl w:val="0"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Tratamento por Radioterapia.</w:t>
      </w:r>
    </w:p>
    <w:p w:rsidR="00757B51" w:rsidRPr="00757B51" w:rsidRDefault="00757B51" w:rsidP="00757B51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 w:line="240" w:lineRule="exact"/>
        <w:jc w:val="both"/>
        <w:rPr>
          <w:rFonts w:ascii="Arial Narrow" w:hAnsi="Arial Narrow"/>
          <w:sz w:val="22"/>
          <w:szCs w:val="22"/>
        </w:rPr>
      </w:pPr>
      <w:r w:rsidRPr="00757B51">
        <w:rPr>
          <w:rFonts w:ascii="Arial Narrow" w:hAnsi="Arial Narrow"/>
          <w:sz w:val="22"/>
          <w:szCs w:val="22"/>
        </w:rPr>
        <w:t>O credenciamento de PSA (Profissionais de Saúde Autônomos) tem como objetivo suprir as necessidades nas seguintes especialidades: Alergologia, Anestesiologia, Angiologia (Cirurgia Vascular e Linfática), Cardiologia, Cirurgia Geral, Dermatologia Clínico-Cirúrgica, Endocrinologia, Endoscopia Digestiva (CPRE), Gastroenterologia, Geriatria e Gerontologia, Ginecologia e Obstetrícia, Hematologia, Infectologia, Medicina Física e Reabilitação, Medicina Nuclear, Nefrologia, Neurocirurgia, Neurologia, Neurofisiologia, Oftalmologia, Ortopedia e Traumatologia, Fisioterapia, Terapia Semi-Intensiva Neonatal, Otorrinolaringologia, Pediatria, Pneumologia, Proctologia, Psiquiatria, Reumatologia, Urologia, Fisioterapia, Fonoaudiologia, Terapia Ocupacional, Psicologia, Nutrição, Cirurgião-dentista, Cirurgia Buco-Maxilo-Facial, Endodontia, Periodontia, Prótese, Estomatologia, Implantodontia, Odontopediatria, Ortodontia e Ortopedia Funcional dos Maxilares.</w:t>
      </w:r>
    </w:p>
    <w:p w:rsidR="00757B51" w:rsidRPr="00A73F5F" w:rsidRDefault="00757B51" w:rsidP="00757B51">
      <w:pPr>
        <w:pStyle w:val="PargrafodaLista"/>
        <w:widowControl w:val="0"/>
        <w:spacing w:before="120" w:after="120" w:line="276" w:lineRule="auto"/>
        <w:ind w:left="1224"/>
        <w:jc w:val="both"/>
        <w:rPr>
          <w:rFonts w:ascii="Arial Narrow" w:hAnsi="Arial Narrow"/>
          <w:b/>
          <w:bCs/>
          <w:sz w:val="22"/>
          <w:szCs w:val="22"/>
        </w:rPr>
      </w:pPr>
    </w:p>
    <w:sectPr w:rsidR="00757B51" w:rsidRPr="00A73F5F" w:rsidSect="00A73F5F">
      <w:footerReference w:type="default" r:id="rId9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CA6" w:rsidRDefault="003D4CA6" w:rsidP="00757B51">
      <w:r>
        <w:separator/>
      </w:r>
    </w:p>
  </w:endnote>
  <w:endnote w:type="continuationSeparator" w:id="0">
    <w:p w:rsidR="003D4CA6" w:rsidRDefault="003D4CA6" w:rsidP="0075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B51" w:rsidRPr="0000657A" w:rsidRDefault="00757B51" w:rsidP="00757B51">
    <w:pPr>
      <w:pStyle w:val="Rodap"/>
      <w:rPr>
        <w:rFonts w:ascii="Arial Narrow" w:hAnsi="Arial Narrow" w:cs="Arial"/>
        <w:sz w:val="14"/>
        <w:szCs w:val="14"/>
      </w:rPr>
    </w:pPr>
    <w:r w:rsidRPr="0000657A">
      <w:rPr>
        <w:rFonts w:ascii="Arial Narrow" w:hAnsi="Arial Narrow" w:cs="Arial"/>
        <w:sz w:val="14"/>
        <w:szCs w:val="14"/>
      </w:rPr>
      <w:t xml:space="preserve">Consultoria Jurídica da União Especializada Virtual de Serviços Sem Dedicação Exclusiva de Mão de Obra </w:t>
    </w:r>
  </w:p>
  <w:p w:rsidR="00757B51" w:rsidRPr="00757B51" w:rsidRDefault="00757B51" w:rsidP="00757B51">
    <w:pPr>
      <w:pStyle w:val="Rodap"/>
      <w:tabs>
        <w:tab w:val="clear" w:pos="4252"/>
        <w:tab w:val="clear" w:pos="8504"/>
        <w:tab w:val="left" w:pos="3057"/>
      </w:tabs>
      <w:rPr>
        <w:rFonts w:ascii="Arial Narrow" w:hAnsi="Arial Narrow"/>
        <w:sz w:val="14"/>
        <w:szCs w:val="14"/>
      </w:rPr>
    </w:pPr>
    <w:r w:rsidRPr="0000657A">
      <w:rPr>
        <w:rFonts w:ascii="Arial Narrow" w:hAnsi="Arial Narrow" w:cs="Arial"/>
        <w:sz w:val="14"/>
        <w:szCs w:val="14"/>
      </w:rPr>
      <w:t>Atualização: FEVEREIRO/2019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CA6" w:rsidRDefault="003D4CA6" w:rsidP="00757B51">
      <w:r>
        <w:separator/>
      </w:r>
    </w:p>
  </w:footnote>
  <w:footnote w:type="continuationSeparator" w:id="0">
    <w:p w:rsidR="003D4CA6" w:rsidRDefault="003D4CA6" w:rsidP="00757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B7CC1"/>
    <w:multiLevelType w:val="multilevel"/>
    <w:tmpl w:val="88BADE9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625197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F6A2831"/>
    <w:multiLevelType w:val="hybridMultilevel"/>
    <w:tmpl w:val="CF20A9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F5F"/>
    <w:rsid w:val="00092DF2"/>
    <w:rsid w:val="001137E6"/>
    <w:rsid w:val="00211BF9"/>
    <w:rsid w:val="003D4CA6"/>
    <w:rsid w:val="005400A6"/>
    <w:rsid w:val="005B480B"/>
    <w:rsid w:val="005E3927"/>
    <w:rsid w:val="00625BF4"/>
    <w:rsid w:val="006D647A"/>
    <w:rsid w:val="00757B51"/>
    <w:rsid w:val="008B1EE0"/>
    <w:rsid w:val="008C35A6"/>
    <w:rsid w:val="009065F6"/>
    <w:rsid w:val="00A408A2"/>
    <w:rsid w:val="00A73F5F"/>
    <w:rsid w:val="00AD08FA"/>
    <w:rsid w:val="00C01239"/>
    <w:rsid w:val="00C12558"/>
    <w:rsid w:val="00CB081F"/>
    <w:rsid w:val="00FD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F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73F5F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757B51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57B5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757B51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57B5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F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73F5F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757B51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57B5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757B51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57B5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1158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AUX SALC</dc:creator>
  <cp:lastModifiedBy>AUX SALC</cp:lastModifiedBy>
  <cp:revision>9</cp:revision>
  <dcterms:created xsi:type="dcterms:W3CDTF">2024-05-13T19:44:00Z</dcterms:created>
  <dcterms:modified xsi:type="dcterms:W3CDTF">2025-07-15T15:02:00Z</dcterms:modified>
</cp:coreProperties>
</file>